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2025年度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宿迁市老年康复护理院</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eastAsia="仿宋" w:cs="仿宋"/>
          <w:b/>
        </w:rPr>
        <w:t>单位预算表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为老年人提供医疗护理关爱等服务。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本单位无内设机构。本单位无下属单位。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eastAsia="仿宋" w:cs="仿宋"/>
          <w:b/>
        </w:rPr>
        <w:t>单位主要工作任务及目标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是市本级适老生活体验中心建设项目。适老生活体验中心是2025年省政府民生实事项目，要求依托规模化养老机构（床位100张以上）或大型居家社区养老服务站点（面积在1000平方米以上），引导专业适老化产品用品企业入住，为广大老年群体提供专业化服务的场地。在市区合适位置依托现有资源，通过合作方式建设市本级的适老生活体验中心，为广大老年群体提供老年产品和康复辅具展示、选购、租赁、维修、个性化配置等专业服务。同时，依托现有设施、养老服务协会及其成员单位，因地制宜推动建立一批小而精的适老产品展示区、体验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是银龄职业技能学习实践中心建设项目。探索成立银龄职业学习实践中心，根据区域差异化原则，重点为有需求的低龄活力老人开展合适的职业类、生活技能类学习提升培训，广泛链接就业资源，促进有需求的老年群体再就业，增加收入、改善生活、提升品质，促进消费。</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三是老年认知障碍筛查评估试点项目。结合年度经费安排，在宿豫区、宿城区各选一个村居开展试点，依托第三方开展老年认知障碍科普宣传、筛查评估、康复干预等活动，提高社会对养老认知障碍知晓度。</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宿迁市老年康复护理院</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宿迁市老年康复护理院</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176.37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163.43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12.94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176.37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176.37</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176.37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176.37</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176.37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176.37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176.37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303009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宿迁市老年康复护理院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176.37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176.37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176.37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176.37</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151.37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养老服务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宿迁市老年康复护理院</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176.37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176.37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176.37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163.43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12.94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176.37</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176.37</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176.37</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151.37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142.71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8.66</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养老服务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宿迁市老年康复护理院</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142.71</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0.17</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176.37</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151.37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142.71</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养老服务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142.71</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0.17</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单位无一般公共预算机关运行经费支出，故本表无数据。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宿迁市老年康复护理院</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老年康复护理院工作经费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养老服务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宿迁市老年康复护理院2025年度收入、支出预算总计176.37万元，与上年相比收、支预算总计各增加46.88万元，增长36.2%。其中：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（一）收入预算总计176.37万元。包括：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1．本年收入合计176.37万元。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（1）一般公共预算拨款收入176.37万元，与上年相比增加46.88万元，增长36.2%。主要原因是项目经费增加和单位人员增加。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（二）支出预算总计176.37万元。包括：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1．本年支出合计176.37万元。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（1）社会保障和就业支出（类）支出163.43万元，主要用于人员经费、公用经费和项目经费。与上年相比增加45.11万元，增长38.13%。主要原因是项目经费增加和单位人员增加。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（2）住房保障支出（类）支出12.94万元，主要用于职工住房公积金。与上年相比增加1.77万元，增长15.85%。主要原因是单位人员增加。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宿迁市老年康复护理院2025年收入预算合计176.37万元，包括本年收入176.37万元，上年结转结余0万元。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本年一般公共预算收入176.37万元，占100%；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宿迁市老年康复护理院2025年支出预算合计176.37万元，其中：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基本支出151.37万元，占85.83%；</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项目支出25万元，占14.17%；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宿迁市老年康复护理院2025年度财政拨款收、支总预算176.37万元。与上年相比，财政拨款收、支总计各增加46.88万元，增长36.2%。主要原因是项目经费增加和单位人员增加。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宿迁市老年康复护理院2025年财政拨款预算支出176.37万元，占本年支出合计的100%。与上年相比，财政拨款支出增加46.88万元，增长36.2%。主要原因是项目经费增加和单位人员增加。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社会福利（款）养老服务（项）支出163.43万元，与上年相比增加45.11万元，增长38.13%。主要原因是项目经费增加。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住房改革支出（款）住房公积金（项）支出12.94万元，与上年相比增加1.77万元，增长15.85%。主要原因是单位人员增加。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宿迁市老年康复护理院2025年度财政拨款基本支出预算151.37万元，其中：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（一）人员经费142.71万元。主要包括：基本工资、津贴补贴、奖金、绩效工资、机关事业单位基本养老保险缴费、职业年金缴费、职工基本医疗保险缴费、其他社会保障缴费、住房公积金、其他工资福利支出。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（二）公用经费8.66万元。主要包括：办公费、培训费、公务接待费、工会经费、福利费。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宿迁市老年康复护理院2025年一般公共预算财政拨款支出预算176.37万元，与上年相比增加46.88万元，增长36.2%。主要原因是项目经费增加和单位人员增加。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宿迁市老年康复护理院2025年度一般公共预算财政拨款基本支出预算151.37万元，其中：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（一）人员经费142.71万元。主要包括：基本工资、津贴补贴、奖金、绩效工资、机关事业单位基本养老保险缴费、职业年金缴费、职工基本医疗保险缴费、其他社会保障缴费、住房公积金、其他工资福利支出。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（二）公用经费8.66万元。主要包括：办公费、培训费、公务接待费、工会经费、福利费。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2025年度一般公共预算拨款安排的“三公”经费支出预算0.07万元，比上年预算增加0.01万元，变动原因单位人员增加。其中，因公出国（境）费支出0万元，占“三公”经费的0%；公务用车购置及运行维护费支出0万元，占“三公”经费的0%；公务接待费支出0.07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3．公务接待费预算支出0.07万元，比上年预算增加0.01万元，主要原因是单位人员增加。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宿迁市老年康复护理院2025年度一般公共预算拨款安排的会议费预算支出0万元，与上年预算数相同。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宿迁市老年康复护理院2025年度一般公共预算拨款安排的培训费预算支出0.71万元，比上年预算减少0.05万元，主要原因是培训费计提比例降低。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宿迁市老年康复护理院2025年政府性基金支出预算支出0万元。与上年预算数相同。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宿迁市老年康复护理院2025年国有资本经营预算支出0万元。与上年预算数相同。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2025年本单位一般公共预算机关运行经费预算支出0万元，与上年预算数相同。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2025年度政府采购支出预算总额10万元，其中：拟采购货物支出0万元、拟采购工程支出0万元、拟采购服务支出10万元。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本单位整体支出纳入绩效目标管理，涉及财政性资金176.37万元；本单位共1个项目纳入绩效目标管理，涉及财政性资金合计25万元，占财政性资金(人员类和运转类中的公用经费项目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八、社会保障和就业支出(类)社会福利(款)养老服务(项)</w:t>
      </w:r>
      <w:r>
        <w:rPr>
          <w:rFonts w:ascii="仿宋" w:hAnsi="仿宋" w:eastAsia="仿宋" w:cs="仿宋"/>
          <w:b/>
        </w:rPr>
        <w:t>：</w:t>
      </w:r>
      <w:r>
        <w:rPr>
          <w:rFonts w:hint="eastAsia" w:ascii="仿宋" w:hAnsi="仿宋" w:eastAsia="仿宋" w:cs="仿宋"/>
        </w:rPr>
        <w:t>反映财政在养老服务方面的补助支出，包括支持居家养老服务、社区养老服务和机构养老服务的支出，对养老服务机构的运营、建设补助支出等，不包括对社会福利事业单位的补助支出。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宿迁市老年康复护理院</w:t>
    </w:r>
    <w:r>
      <w:t>2025年度单位预算公开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957E7"/>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6867</Words>
  <Characters>8168</Characters>
  <Paragraphs>501</Paragraphs>
  <TotalTime>2</TotalTime>
  <ScaleCrop>false</ScaleCrop>
  <LinksUpToDate>false</LinksUpToDate>
  <CharactersWithSpaces>8285</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sq</cp:lastModifiedBy>
  <dcterms:modified xsi:type="dcterms:W3CDTF">2025-02-12T03:09:52Z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2D2EF727365E475D93053DE9225B8F1D</vt:lpwstr>
  </property>
  <property fmtid="{D5CDD505-2E9C-101B-9397-08002B2CF9AE}" pid="5" name="KSOProductBuildVer">
    <vt:lpwstr>2052-11.1.0.12598</vt:lpwstr>
  </property>
  <property fmtid="{D5CDD505-2E9C-101B-9397-08002B2CF9AE}" pid="6" name="LastSaved">
    <vt:filetime>2021-04-15T00:00:00Z</vt:filetime>
  </property>
</Properties>
</file>