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4" w:hRule="atLeast"/>
        </w:trPr>
        <w:tc>
          <w:tcPr>
            <w:tcW w:w="1008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5" w:hRule="atLeast"/>
        </w:trPr>
        <w:tc>
          <w:tcPr>
            <w:tcW w:w="1008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2024年度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宿迁市民政精神病人福利服务指导中心</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单位预算公开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eastAsia="仿宋" w:cs="仿宋"/>
          <w:b/>
        </w:rPr>
        <w:t>单位预算表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服务指导全市民政对象精神卫生福利事业。</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本单位无内设机构。本单位无下属单位。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eastAsia="仿宋" w:cs="仿宋"/>
          <w:b/>
        </w:rPr>
        <w:t>单位主要工作任务及目标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加快精神障碍社区康复服务点建设，完成全市5个精神障碍康复服务点建设，进一步提升康复服务能力。做好精神障碍民政服务对象保障工作，对中心城区民政服务对象重度精神障碍患者床位费自付部分实行政府兜底。落实特困精神障碍患者集中康复照护制度，在中心城区及三县分别开展集中康复照护工作，按照保障质量、方便患者的原则，对重度精神障碍特困人员提供救治、康复、护理和照料等服务，不断完善工作协调机制，强化监督检查，确保为特困精神障碍患者兜住底、兜准底、兜好底。</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宿迁市民政精神病人福利服务指导中心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3"/>
        <w:tblW w:w="11329" w:type="dxa"/>
        <w:jc w:val="center"/>
        <w:tblInd w:w="0" w:type="dxa"/>
        <w:tblLayout w:type="fixed"/>
        <w:tblCellMar>
          <w:top w:w="0" w:type="dxa"/>
          <w:left w:w="108" w:type="dxa"/>
          <w:bottom w:w="0" w:type="dxa"/>
          <w:right w:w="108" w:type="dxa"/>
        </w:tblCellMar>
      </w:tblPr>
      <w:tblGrid>
        <w:gridCol w:w="3908"/>
        <w:gridCol w:w="1869"/>
        <w:gridCol w:w="3704"/>
        <w:gridCol w:w="67"/>
        <w:gridCol w:w="1781"/>
      </w:tblGrid>
      <w:tr>
        <w:tblPrEx>
          <w:tblLayout w:type="fixed"/>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Layout w:type="fixed"/>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Layout w:type="fixed"/>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宿迁市民政精神病人福利服务指导中心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Layout w:type="fixed"/>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Layout w:type="fixed"/>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64.36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58.73</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5.63</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64.36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64.36</w:t>
            </w:r>
          </w:p>
        </w:tc>
      </w:tr>
      <w:tr>
        <w:tblPrEx>
          <w:tblLayout w:type="fixed"/>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Layout w:type="fixed"/>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64.36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64.36</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宿迁市民政精神病人福利服务指导中心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64.36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64.36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64.36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303013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宿迁市民政精神病人福利服务指导中心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64.36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64.36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64.36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Layout w:type="fixed"/>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Layout w:type="fixed"/>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Layout w:type="fixed"/>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宿迁市民政精神病人福利服务指导中心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Layout w:type="fixed"/>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64.36</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64.36</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社会福利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社会福利事业单位</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Layout w:type="fixed"/>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Layout w:type="fixed"/>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Layout w:type="fixed"/>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宿迁市民政精神病人福利服务指导中心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Layout w:type="fixed"/>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64.36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64.36</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64.36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58.73</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5.63</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64.36</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64.36</w:t>
            </w:r>
          </w:p>
        </w:tc>
      </w:tr>
    </w:tbl>
    <w:p>
      <w:pPr>
        <w:ind w:left="-220" w:leftChars="-100" w:firstLine="0" w:firstLineChars="0"/>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Layout w:type="fixed"/>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Layout w:type="fixed"/>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Layout w:type="fixed"/>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宿迁市民政精神病人福利服务指导中心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64.36</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64.36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60.62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3.74</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社会福利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社会福利事业单位</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3"/>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Layout w:type="fixed"/>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Layout w:type="fixed"/>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Layout w:type="fixed"/>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宿迁市民政精神病人福利服务指导中心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Layout w:type="fixed"/>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64.36</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60.62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60.62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0.37</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Layout w:type="fixed"/>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Layout w:type="fixed"/>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宿迁市民政精神病人福利服务指导中心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64.36</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64.36</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60.62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社会福利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社会福利事业单位</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Layout w:type="fixed"/>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Layout w:type="fixed"/>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Layout w:type="fixed"/>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宿迁市民政精神病人福利服务指导中心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Layout w:type="fixed"/>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64.36</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60.62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60.62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0.37</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Layout w:type="fixed"/>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Layout w:type="fixed"/>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Layout w:type="fixed"/>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宿迁市民政精神病人福利服务指导中心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Layout w:type="fixed"/>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Layout w:type="fixed"/>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0.37</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Layout w:type="fixed"/>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Layout w:type="fixed"/>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宿迁市民政精神病人福利服务指导中心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Layout w:type="fixed"/>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单位无政府性基金预算，也没有使用政府性基金安排的支出，故本表无数据。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4695" w:type="dxa"/>
        <w:jc w:val="center"/>
        <w:tblInd w:w="0" w:type="dxa"/>
        <w:tblLayout w:type="fixed"/>
        <w:tblCellMar>
          <w:top w:w="0" w:type="dxa"/>
          <w:left w:w="108" w:type="dxa"/>
          <w:bottom w:w="0" w:type="dxa"/>
          <w:right w:w="108" w:type="dxa"/>
        </w:tblCellMar>
      </w:tblPr>
      <w:tblGrid>
        <w:gridCol w:w="1596"/>
        <w:gridCol w:w="3803"/>
        <w:gridCol w:w="3111"/>
        <w:gridCol w:w="3094"/>
        <w:gridCol w:w="3091"/>
      </w:tblGrid>
      <w:tr>
        <w:tblPrEx>
          <w:tblLayout w:type="fixed"/>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Layout w:type="fixed"/>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Layout w:type="fixed"/>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宿迁市民政精神病人福利服务指导中心</w:t>
            </w:r>
          </w:p>
        </w:tc>
        <w:tc>
          <w:tcPr>
            <w:tcW w:w="3091" w:type="dxa"/>
            <w:tcBorders>
              <w:top w:val="nil"/>
              <w:left w:val="nil"/>
              <w:bottom w:val="nil"/>
              <w:right w:val="nil"/>
            </w:tcBorders>
            <w:shd w:val="clear" w:color="auto" w:fill="auto"/>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Layout w:type="fixed"/>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Layout w:type="fixed"/>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Layout w:type="fixed"/>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Layout w:type="fixed"/>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Layout w:type="fixed"/>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宿迁市民政精神病人福利服务指导中心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Layout w:type="fixed"/>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单位无一般公共预算机关运行经费支出，故本表无数据。</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宿迁市民政精神病人福利服务指导中心</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单位无政府采购支出，故本表无数据。</w:t>
      </w:r>
    </w:p>
    <w:p>
      <w:pPr>
        <w:bidi w:val="0"/>
        <w:rPr>
          <w:rFonts w:hint="eastAsia" w:ascii="仿宋" w:hAnsi="仿宋" w:eastAsia="仿宋" w:cs="仿宋"/>
          <w:b/>
          <w:bCs/>
          <w:sz w:val="22"/>
          <w:szCs w:val="22"/>
        </w:rPr>
        <w:sectPr>
          <w:footerReference r:id="rId18"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宿迁市民政精神病人福利服务指导中心2024年度收入、支出预算总计64.36万元，与上年相比收、支预算总计各增加3.29万元，增长5.39%。其中：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（一）收入预算总计64.36万元。包括：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1．本年收入合计64.36万元。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（1）一般公共预算拨款收入64.36万元，与上年相比增加3.29万元，增长5.39%。主要原因是人员经费自然增长。</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（二）支出预算总计64.36万元。包括：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1．本年支出合计64.36万元。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（1）社会保障和就业支出（类）支出58.73万元，主要用于人员工资和公用经费。与上年相比减少2.34万元，减少3.83%。主要原因是规范功能科目使用。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（2）住房保障支出（类）支出5.63万元，主要用于缴纳职工住房公积金。与上年相比增加5.63万元（去年预算数为0万元，无法计算增减比率）。主要原因是规范功能科目使用。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宿迁市民政精神病人福利服务指导中心2024年收入预算合计64.36万元，包括本年收入64.36万元，上年结转结余0万元。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本年一般公共预算收入64.36万元，占100%；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宿迁市民政精神病人福利服务指导中心2024年支出预算合计64.36万元，其中：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基本支出64.36万元，占100%；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宿迁市民政精神病人福利服务指导中心2024年度财政拨款收、支总预算64.36万元。与上年相比，财政拨款收、支总计各增加3.29万元，增长5.39%。主要原因是人员经费自然增长。</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宿迁市民政精神病人福利服务指导中心2024年财政拨款预算支出64.36万元，占本年支出合计的100%。与上年相比，财政拨款支出增加3.29万元，增长5.39%。主要原因是人员经费自然增长。</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社会福利（款）社会福利事业单位（项）支出58.73万元，与上年相比减少2.34万元，减少3.83%。主要原因是规范功能科目使用。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住房改革支出（款）住房公积金（项）支出5.63万元，与上年相比增加5.63万元（去年预算数为0万元，无法计算增减比率）。主要原因是规范功能科目使用。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宿迁市民政精神病人福利服务指导中心2024年度财政拨款基本支出预算64.36万元，其中：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（一）人员经费60.62万元。主要包括：基本工资、津贴补贴、奖金、绩效工资、机关事业单位基本养老保险缴费、职业年金缴费、职工基本医疗保险缴费、其他社会保障缴费、住房公积金、其他工资福利支出。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（二）公用经费3.74万元。主要包括：办公费、培训费、公务接待费、工会经费、福利费。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宿迁市民政精神病人福利服务指导中心2024年一般公共预算财政拨款支出预算64.36万元，与上年相比增加3.29万元，增长5.39%。主要原因是人员经费自然增长。</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宿迁市民政精神病人福利服务指导中心2024年度一般公共预算财政拨款基本支出预算64.36万元，其中：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（一）人员经费60.62万元。主要包括：基本工资、津贴补贴、奖金、绩效工资、机关事业单位基本养老保险缴费、职业年金缴费、职工基本医疗保险缴费、其他社会保障缴费、住房公积金、其他工资福利支出。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（二）公用经费3.74万元。主要包括：办公费、培训费、公务接待费、工会经费、福利费。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精神病人福利服务指导中心2024年度一般公共预算拨款安排的“三公”经费支出预算0.03万元，与上年预算数相同。其中，因公出国（境）费支出0万元，占“三公”经费的0%；公务用车购置及运行维护费支出0万元，占“三公”经费的0%；公务接待费支出0.03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3．公务接待费预算支出0.03万元，与上年预算数相同。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宿迁市民政精神病人福利服务指导中心2024年度一般公共预算拨款安排的会议费预算支出0万元，与上年预算数相同。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宿迁市民政精神病人福利服务指导中心2024年度一般公共预算拨款安排的培训费预算支出0.37万元，比上年预算增加0.01万元，主要原因是人员经费自然增长，相应计提的培训费增加。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宿迁市民政精神病人福利服务指导中心2024年政府性基金支出预算支出0万元。与上年预算数相同。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宿迁市民政精神病人福利服务指导中心2024年国有资本经营预算支出0万元。与上年预算数相同。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2024年本单位一般公共预算机关运行经费预算支出0万元，与上年预算数相同。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2024年度政府采购支出预算总额0万元，其中：拟采购货物支出0万元、拟采购工程支出0万元、拟采购服务支出0万元。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本单位整体支出纳入绩效目标管理，涉及财政性资金64.36万元；本单位共0个项目纳入绩效目标管理，涉及财政性资金合计0万元，占财政性资金(人员类和运转类中的公用经费项目支出除外)总额的比例为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八、社会保障和就业支出(类)社会福利(款)社会福利事业单位(项)</w:t>
      </w:r>
      <w:r>
        <w:rPr>
          <w:rFonts w:ascii="仿宋" w:hAnsi="仿宋" w:eastAsia="仿宋" w:cs="仿宋"/>
          <w:b/>
        </w:rPr>
        <w:t>：</w:t>
      </w:r>
      <w:r>
        <w:rPr>
          <w:rFonts w:hint="eastAsia" w:ascii="仿宋" w:hAnsi="仿宋" w:eastAsia="仿宋" w:cs="仿宋"/>
        </w:rPr>
        <w:t>反映民政部门举办的社会福利事业单位的支出，以及对集体社会福利事业单位的补助费。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ED5jvy5AQAAVwMAAA4AAAAAAAAAAQAgAAAAHgEAAGRycy9lMm9Eb2MueG1sUEsFBgAAAAAGAAYA&#10;WQEAAEk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MHl++S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GirS3O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1TrgjugEAAFgDAAAOAAAAAAAAAAEAIAAAAB4BAABkcnMvZTJvRG9jLnhtbFBLBQYAAAAABgAG&#10;AFkBAABK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BwACLS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KbVqde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EGyNLugEAAFcDAAAOAAAAAAAAAAEAIAAAAB4BAABkcnMvZTJvRG9jLnhtbFBLBQYAAAAABgAG&#10;AFkBAABKBQ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jPXmNugEAAFcDAAAOAAAAAAAAAAEAIAAAAB4BAABkcnMvZTJvRG9jLnhtbFBLBQYAAAAABgAG&#10;AFkBAABK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B/qTai5AQAAVw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3HCLhugEAAFcDAAAOAAAAAAAAAAEAIAAAAB4BAABkcnMvZTJvRG9jLnhtbFBLBQYAAAAABgAG&#10;AFkBAABK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KSZdde5AQAAVw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dfFQLgBAABXAwAADgAAAAAAAAABACAAAAAeAQAAZHJzL2Uyb0RvYy54bWxQSwUGAAAAAAYABgBZ&#10;AQAASA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n7qELgBAABYAwAADgAAAAAAAAABACAAAAAeAQAAZHJzL2Uyb0RvYy54bWxQSwUGAAAAAAYABgBZ&#10;AQAASA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HswWoe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宿迁市民政精神病人福利服务指导中心</w:t>
    </w:r>
    <w:r>
      <w:t>2024年度单位预算公开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11184"/>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编号符号"/>
    <w:qFormat/>
    <w:uiPriority w:val="0"/>
  </w:style>
  <w:style w:type="character" w:customStyle="1" w:styleId="16">
    <w:name w:val="页眉 字符"/>
    <w:basedOn w:val="12"/>
    <w:qFormat/>
    <w:uiPriority w:val="0"/>
    <w:rPr>
      <w:rFonts w:ascii="Arial Unicode MS" w:hAnsi="Arial Unicode MS" w:eastAsia="Arial Unicode MS" w:cs="Arial Unicode MS"/>
      <w:sz w:val="18"/>
      <w:szCs w:val="18"/>
      <w:lang w:val="zh-CN" w:bidi="zh-CN"/>
    </w:rPr>
  </w:style>
  <w:style w:type="character" w:customStyle="1" w:styleId="17">
    <w:name w:val="页脚 字符"/>
    <w:basedOn w:val="12"/>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Office_11.1.0.7989_F1E327BC-269C-435d-A152-05C5408002CA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2024-02-01T14:14:42Z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2052-11.1.0.7989</vt:lpwstr>
  </property>
  <property fmtid="{D5CDD505-2E9C-101B-9397-08002B2CF9AE}" pid="6" name="LastSaved">
    <vt:filetime>2021-04-15T00:00:00Z</vt:filetime>
  </property>
</Properties>
</file>