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2023年度宿迁市民政局单位决算公开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（一）拟订全市民政事业发展政策和规划，起草有关地方性法规、规章草案和标准，并组织实施和监督检查。</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（二）拟订全市社会团体、基金会、社会服务机构等社会组织登记和监督管理政策制度并组织实施。依法对社会组织进行登记管理和执法监督。</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（三）拟订全市相关社会救助政策、标准，统筹社会救助体系建设，负责城乡居民最低生活保障、特困人员救助供养、临时救助、生活无着流浪乞讨人员救助工作。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拟订全市行政区划、行政区域界线管理和地名管理政策、标准，研究提出全市行政区划中长期总体规划建议，按照管理权限承担行政区划设立、命名、变更和政府驻地迁移等审核工作，承担行政区划代码管理工作，组织指导乡镇级行政区域界线的勘定和管理工作，负责地名管理工作，负责跨县（区）界自然地理实体命名、更名的审核工作，组织开展地名公共服务。</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（五）拟订全市婚姻管理政策并组织实施，推进婚俗改革。</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（六）拟订全市殡葬管理政策、服务规范并组织实施，推进殡葬改革。</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（七）拟订全市残疾人权益保护政策，统筹推进残疾人福利制度建设和康复辅具器具产业发展。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（八）承担市老龄工作委员会的具体工作。组织拟订并协调落实积极应对人口老龄化的政策措施，指导协调老年人权益保障工作。组织拟订老年人社会参与政策并组织实施。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（九）统筹推进、督促指导、监督管理全市养老服务工作，拟订养老服务体系建设规划、政策、标准并组织实施，承担老年人福利和特殊困难老年人救助工作，推动居家社区机构养老服务协调发展。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（十）拟订全市儿童福利、孤弃儿童保障、儿童收养、儿童救助保护政策、标准，健全农村留守儿童关爱服务体系和困境儿童保障制度。指导全市儿童福利机构建设和管理。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（十一）拟订全市促进慈善事业发展政策，指导社会捐助工作，负责全市福利彩票管理工作。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（十二）完成市委、市政府交办的其他任务。</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一）办公室（规划财务处、安全生产监督管理处）、（二）政策法规处（行政审批处、信访办公室）、（三）社会组织管理处（区划地名处）、（四）社会救助处、（五）社会事务处、（六）老龄工作处、（七）养老服务处、（八）儿童福利处（慈善事业促进处）。本单位下属单位包括：宿迁市救助管理站、宿迁市社会福利中心、宿迁市社会捐助服务中心、宿迁市民政精神病人福利服务指导中心、宿迁市帮扶救助中心（宿迁市居民家庭经济状况核对中心）、老年康复护理院。</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全市民政工作在市委、市政府的坚强领导下，以开展第二批主题教育为契机，充分践行“用心用情、精准精细、向上向善、为民爱民”工作精神，扎实推进年度重点任务落地见效，以民生保障的温度、力度和厚度检验主题教育实际成效。</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一、2023年工作开展情况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基本民生保障更加有力有效。一是提升“智慧型”帮扶救助水平。优化市帮扶救助平台“转办、联办、调度”功能，链接20部门50项救助资源，建立覆盖80万名困难群众数据库，推动社会救助跨部门、跨层级、跨区域联合联动，相关做法获评江苏民政数字化转型“最佳应用”；联合16个部门建立信息共享比对机制，累计比对各类数据175.7万条，通过比对将6834名困难群众纳入各类保障。二是完善“便捷式”临时救助模式。研究制定进一步优化临时救助工作的若干措施，健全信用承诺失信惩戒机制、深化“三先三后”“分层分类”临时救助模式，切实提升临时救助工作质效。全市累计发放救助金3233.3万元，惠及3.31万人次。三是健全“广覆盖”服务保障网络。开展社会救助扩围提质增效行动，摸排困难群众12.86万人，新纳入保障7113人，实施渐退缓退261人；开展低温天气困难群众关爱行动，摸排群众9.17万名，协调专项资金100余万元用于购置棉衣棉被和取暖设备；强化特困精神障碍患者兜底保障，打造中心城区及三县集中照护机构，我市被确定为全省特困精神障碍患者集中康复照护工作试点地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一老一小”服务能力有效提升。一是健全制度供给。提请市政府或会同有关部门研究出台加快养老服务高质量发展、建立健全养老服务综合监管制度、开展特殊困难老年人探访关爱服务等重要文件，有效保障养老服务事业健康规范发展。二是优化设施供给。全市新建街道综合性养老服务中心6家、社区助餐点25家、示范性互助养老睦邻点60个、适老化改造2000户，优化提升农村区域性养老服务中心10个；推进儿童福利机构“养治教康社”服务一体化建设，全市建成145个省级儿童关爱之家、95个乡镇（街道）未保站、6个未保中心、30家“苏童成长”践习基地。三是创新服务供给。实施标准化建设，特困供养机构二级以上等级评定率达92.3%；推进公建民营改革，全市49家公办养老机构实现社会化运营；将集中供养后闲置的14家敬老院改造为社会养老机构，弥补农村社会养老床位不足的短板；建立困境儿童数据共享机制，搭建数据比对模型，相关做法被省“苏童成长”一体化信息平台运用；优化未保综合信息平台功能，为全市10134名困境儿童进行赋色管理，分类实施关爱帮扶措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基层治理及专项事务持续优化。一是深化基层社会治理。改造提升和新建25个社区综合服务中心，全市社区综合服务设施达标率达到94%，高于全省平均；宿豫、宿城2区和7个街道（乡镇）被省厅确认为“五社联动”机制创新省级试点单位，试点数全省第一；开展路名标志牌清理整治行动，对排查出的606块问题路名牌全部按国家标准予以更换；深入推进婚姻登记便捷通办，宿豫区入选省级集中补领婚姻登记证试点地区，沭阳县入选全省第三批婚俗改革试验区。二是强化社会组织培管。开展社会组织登记“窗口前移协同联办”，有效开展“多点受理、受办分离、市内通办”服务，相关做法获选全省社会组织行政审批领域优秀案例；扎实开展社会团体集中排查、打击整治非法社会组织、行业协会商会乱收费整治等专项行动，先后依法依规处置30家社会团体、清理421家“僵尸型”社会组织、取缔2家非法社会组织，责令退还涉企乱收费10.7万元。三是纵深推进殡葬领域全链式改革。市委、市政府出台《关于深化殡葬改革推进逝有所安的实施意见》，明确重点任务和保障措施，全面推进逝有所安实践；研究制定经营性公墓运营管理规范，全市5家经营性公墓均完成新一轮价格备案；加强遗体接运车辆规范管理，制定驾驶员管理评价办法，完成新一轮149辆车辆备案审查。我市先后被确定为全省深化殡葬改革推进逝有所安试点地区、全国殡葬领域跨部门综合监管试点地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在抓好主责主业的同时，从严从实抓好主题教育和作风建设工作。深入学思想，先后开展集体学习10次、专题研讨8次、理论宣讲15次，上专题党课8次，举办为期7天的领导干部主题教育专题读书班和市、县（区）150名民政干部参加的学习习近平总书记关于民政工作的重要论述专题读书班；深入调查研究和检视整改，形成17条调研成果转化，全面整改检视问题，着力解决了一批事业所需、基层所盼的问题。深入开展作风建设攻坚年行动，排查勤政廉洁风险事项124项、风险点298条并制定防控措施381条，基本覆盖权力运行各环节；在全系统中评选6名“岗位之星”，7个“效能示范岗”，2名同志被评为市级劳动模范、1名同志被评为全市“十佳公务员”，在全省村居儿童主任实务技能竞赛中荣获团体二等奖，较好展示了宿迁民政形象。</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宿迁市民政局</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宿迁市民政局</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3,216.78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310.09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6.72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3,289.00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310.09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3,533.59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3,599.09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135.86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70.36</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3,669.45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3,669.45</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3,533.59</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3,526.87</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3,223.50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3,216.78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1,071.81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1,065.09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698.20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697.98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0.22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353.62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347.12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2,151.69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2,151.69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2,115.00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2,115.00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310.09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3,599.09</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768.70</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2,830.39</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3,289.00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2,520.30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368.61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348.62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348.62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2,151.69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2,151.69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2,115.00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2,115.00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其他社会福利支出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3,216.78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3,287.50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3,287.50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3,526.87</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3,597.59</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3,287.50</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133.56</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62.84</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62.84</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133.56</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3,660.43</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3,660.43</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3,350.34</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3,597.59</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2,828.89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2,518.80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1,135.81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367.11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2,151.69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2,151.69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613.16</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584.93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127.66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127.66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3,287.50</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2,518.80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2,518.80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1,135.81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367.11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2,151.69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2,151.69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36.69</w:t>
            </w: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613.16</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584.93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584.93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127.66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127.66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2.75</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2.75</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10.83</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56.63</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2.75</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2.75</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10.83</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56.63</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19</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13</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1,033</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310.09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310.09</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127.66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18.20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39.86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27.87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宿迁市民政局</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2023年度收入、支出决算总计3,669.45万元。与上年相比，收、支总计各增加1,557.65万元，增长73.76%。其中：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（一）收入决算总计3,669.45万元。包括：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1.本年收入决算合计3,533.59万元。与上年相比，增加1,560.48万元，增长79.09%，变动原因：本年增加了宿迁市西南岗区域养老服务中心项目。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3.年初结转和结余135.86万元。与上年相比，减少2.83万元，减少2.04%，变动原因：本年支出使用以前年度结余资金。</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（二）支出决算总计3,669.45万元。包括：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1.本年支出决算合计3,599.09万元。与上年相比，增加1,623.15万元，增长82.15%，变动原因：本年增加了宿迁市西南岗区域养老服务中心项目支出。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3.年末结转和结余70.36万元。结转和结余事项：公用经费和项目经费。与上年相比，减少65.5万元，减少48.21%，变动原因：大楼运行维护费45.5万元和民政事务专项业务费20万元从结余资金中列支。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3,533.59万元，其中：财政拨款收入3,526.87万元，占99.81%；上级补助收入0万元，占0%；财政专户管理教育收费0万元，占0%；事业收入（不含专户管理教育收费）0万元，占0%；经营收入0万元，占0%；附属单位上缴收入0万元，占0%；其他收入6.72万元，占0.19%。</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2023年度本年支出决算合计3,599.09万元，其中：基本支出768.7万元，占21.36%；项目支出2,830.39万元，占78.64%；上缴上级支出0万元，占0%；经营支出0万元，占0%；对附属单位补助支出0万元，占0%。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2023年度财政拨款收入、支出决算总计3,660.43万元。与上年相比，收、支总计各增加1,550.93万元，增长73.52%，变动原因：本年增加了宿迁市西南岗区域养老服务中心项目支出。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2023年度财政拨款支出决算3,597.59万元，占本年支出合计的99.96%。与2023年度财政拨款支出年初预算2,591.86万元相比，完成年初预算的138.8%。其中：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1.民政管理事务（款）行政运行（项）。年初预算642.96万元，支出决算768.7万元，完成年初预算的119.56%。决算数与年初预算数的差异原因：使用以前年度结余资金。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2.民政管理事务（款）基层政权建设和社区治理（项）。年初预算50万元，支出决算20万元，完成年初预算的40%。决算数与年初预算数的差异原因：30万元直接从财政局拨给县区，指标没有下达到单位。</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3.民政管理事务（款）其他民政管理事务支出（项）。年初预算575.9万元，支出决算347.12万元，完成年初预算的60.27%。决算数与年初预算数的差异原因：有部分资金是从财政局直接拨出，指标没有下达到单位。</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4.社会福利（款）养老服务（项）。年初预算0万元，支出决算2,115万元，（年初预算数为0万元，无法计算完成比率）决算数与年初预算数的差异原因：后期增加的预算。</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5.社会福利（款）其他社会福利支出（项）。年初预算53万元，支出决算36.69万元，完成年初预算的69.23%。决算数与年初预算数的差异原因：据实支付，根据残疾人实际床位费支出。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（二）其他支出（类）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彩票公益金安排的支出（款）用于社会福利的彩票公益金支出（项）。年初预算1,270万元，支出决算310.09万元，完成年初预算的24.42%。决算数与年初预算数的差异原因：养老服务体系建设部分资金从财政局直接拨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2023年度财政拨款基本支出决算768.7万元，其中：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（一）人员经费613.16万元。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（二）公用经费155.54万元。</w:t>
      </w:r>
      <w:r>
        <w:rPr>
          <w:rFonts w:ascii="仿宋" w:hAnsi="仿宋" w:eastAsia="仿宋" w:cs="仿宋"/>
        </w:rPr>
        <w:t>主要包括：办公费、印刷费、电费、邮电费、差旅费、维修（护）费、租赁费、培训费、公务接待费、劳务费、委托业务费、工会经费、福利费、其他交通费用、其他商品和服务支出、办公设备购置、信息网络及软件购置更新。</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2023年度一般公共预算财政拨款支出决算3,287.5万元。与上年相比，增加1,563.22万元，增长90.66%，变动原因：增加了宿迁市西南岗区域养老服务中心项目。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2023年度一般公共预算财政拨款基本支出决算768.7万元，其中：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（一）人员经费613.16万元。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（二）公用经费155.54万元。</w:t>
      </w:r>
      <w:r>
        <w:rPr>
          <w:rFonts w:ascii="仿宋" w:hAnsi="仿宋" w:eastAsia="仿宋" w:cs="仿宋"/>
        </w:rPr>
        <w:t>主要包括：办公费、印刷费、电费、邮电费、差旅费、维修（护）费、租赁费、培训费、公务接待费、劳务费、委托业务费、工会经费、福利费、其他交通费用、其他商品和服务支出、办公设备购置、信息网络及软件购置更新。</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2.75万元（其中：一般公共预算支出2.75万元；政府性基金预算支出0万元；国有资本经营预算支出0万元）。与上年相比，增加0.9万元，变动原因：招待费比上年增加0.9万元。其中，因公出国（境）费支出0万元，占“三公”经费的0%；公务用车购置及运行维护费支出0万元，占“三公”经费的0%；公务接待费支出2.75万元，占“三公”经费的100%。2023年度财政拨款“三公”经费支出预算2.75万元（其中：一般公共预算支出2.75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2.75万元（其中：一般公共预算支出2.75万元；政府性基金预算支出0万元；国有资本经营预算支出0万元），支出决算2.75万元（其中：一般公共预算支出2.75万元；政府性基金预算支出0万元；国有资本经营预算支出0万元），完成调整后预算的100%，决算数与预算数相同。其中：国内公务接待支出2.75万元，接待19批次，230人次，开支内容：接待省民政厅领导、接待徐州市民政局来宿考察、接待苏州市养老产业联合会来宿考察、接待河北唐山民政局来宿考察等；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10.83万元（其中：一般公共预算支出7.98万元；政府性基金预算支出2.85万元；国有资本经营预算支出0万元），支出决算10.83万元（其中：一般公共预算支出7.98万元；政府性基金预算支出2.85万元；国有资本经营预算支出0万元），完成调整后预算的100%，决算数与预算数相同。2023年度全年召开会议13个，参加会议198人次，开支内容：2023年宿迁市营商环境邀请座谈会、全省打击整治非法社会组织工作调度会、全市帮扶救助工作联席会议、省厅主题教育社会救助来宿调研座谈会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56.63万元（其中：一般公共预算支出28.94万元；政府性基金预算支出27.69万元；国有资本经营预算支出0万元），支出决算56.63万元（其中：一般公共预算支出28.94万元；政府性基金预算支出27.69万元；国有资本经营预算支出0万元），完成调整后预算的100%，决算数与预算数相同。2023年度全年组织培训22个，组织培训1033人次，开支内容：赴苏州学习贯彻党的二十大精神教育培训、全市基层儿童工作人员培训，举办全市慈善业务专题培训，全市基层儿童工作人员省技能大赛培训、养老机构院长管理服务能力培训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2023年度政府性基金预算财政拨款支出决算310.09万元。与上年相比，增加58.43万元，增长23.22%，变动原因：社会组织培训发展专项经费比上年增加。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155.54万元（其中：一般公共预算支出155.54万元；政府性基金预算支出0万元；国有资本经营预算支出0万元）。与上年相比，增加43.93万元，增长39.36%，变动原因：其他交通费用比上年增加18.46万元，信息网络购置比上年增加13.23万元、租赁费比上年增加7.89万元、办公费比上年增加4.35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270万元，其中：政府采购货物支出0万元、政府采购工程支出270万元、政府采购服务支出0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2023年度，本单位共9个项目开展了财政重点绩效评价，涉及财政性资金合计2,830.39万元；本单位开展单位整体支出财政重点绩效评价，涉及财政性资金3,599.09万元。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本单位共对2023年度已实施完成的9个项目开展了绩效自评价，涉及财政性资金合计2,830.39万元；本单位共开展1项单位整体支出绩效自评价，涉及财政性资金合计3,599.09万元。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二十三、社会保障和就业支出(类)社会福利(款)其他社会福利支出(项)</w:t>
      </w:r>
      <w:r>
        <w:rPr>
          <w:rFonts w:ascii="仿宋" w:hAnsi="仿宋" w:eastAsia="仿宋" w:cs="仿宋"/>
          <w:b/>
        </w:rPr>
        <w:t>：</w:t>
      </w:r>
      <w:r>
        <w:rPr>
          <w:rFonts w:hint="eastAsia" w:ascii="仿宋" w:hAnsi="仿宋" w:eastAsia="仿宋" w:cs="仿宋"/>
        </w:rPr>
        <w:t>反映除上述项目以外其他用于社会福利方面的支出。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宿迁市民政局</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1BE7A0A"/>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13914</Words>
  <Characters>17098</Characters>
  <Lines>58</Lines>
  <Paragraphs>16</Paragraphs>
  <TotalTime>7</TotalTime>
  <ScaleCrop>false</ScaleCrop>
  <LinksUpToDate>false</LinksUpToDate>
  <CharactersWithSpaces>17658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sq</cp:lastModifiedBy>
  <dcterms:modified xsi:type="dcterms:W3CDTF">2024-09-14T01:14:41Z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F87CE52E79E448A78DB471B0B5BCCB14</vt:lpwstr>
  </property>
  <property fmtid="{D5CDD505-2E9C-101B-9397-08002B2CF9AE}" pid="5" name="KSOProductBuildVer">
    <vt:lpwstr>2052-11.1.0.12598</vt:lpwstr>
  </property>
  <property fmtid="{D5CDD505-2E9C-101B-9397-08002B2CF9AE}" pid="6" name="LastSaved">
    <vt:filetime>2021-04-15T00:00:00Z</vt:filetime>
  </property>
</Properties>
</file>